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3BA7" w:rsidRDefault="007C3BA7">
      <w:pPr>
        <w:jc w:val="both"/>
      </w:pPr>
      <w:bookmarkStart w:id="0" w:name="_GoBack"/>
      <w:bookmarkEnd w:id="0"/>
    </w:p>
    <w:p w:rsidR="007C3BA7" w:rsidRDefault="009058CC">
      <w:pPr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Curriculum vitae</w:t>
      </w:r>
    </w:p>
    <w:p w:rsidR="007C3BA7" w:rsidRDefault="007C3BA7">
      <w:pPr>
        <w:keepNext/>
        <w:keepLines/>
        <w:tabs>
          <w:tab w:val="left" w:pos="-720"/>
        </w:tabs>
        <w:jc w:val="center"/>
      </w:pPr>
    </w:p>
    <w:p w:rsidR="007C3BA7" w:rsidRDefault="009058CC">
      <w:pPr>
        <w:keepNext/>
        <w:keepLines/>
        <w:tabs>
          <w:tab w:val="left" w:pos="-720"/>
        </w:tabs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Pedro A. Francke Ballvé</w:t>
      </w:r>
    </w:p>
    <w:p w:rsidR="007C3BA7" w:rsidRDefault="007C3BA7">
      <w:pPr>
        <w:jc w:val="both"/>
      </w:pPr>
    </w:p>
    <w:p w:rsidR="007C3BA7" w:rsidRDefault="007C3BA7">
      <w:pPr>
        <w:jc w:val="both"/>
      </w:pPr>
    </w:p>
    <w:tbl>
      <w:tblPr>
        <w:tblStyle w:val="a"/>
        <w:tblW w:w="7655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</w:tblGrid>
      <w:tr w:rsidR="007C3BA7">
        <w:tc>
          <w:tcPr>
            <w:tcW w:w="2552" w:type="dxa"/>
          </w:tcPr>
          <w:p w:rsidR="007C3BA7" w:rsidRDefault="009058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Nombre: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7C3BA7" w:rsidRDefault="009058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Pedro Andrés Francke Ballvé</w:t>
            </w:r>
          </w:p>
        </w:tc>
      </w:tr>
      <w:tr w:rsidR="007C3BA7">
        <w:tc>
          <w:tcPr>
            <w:tcW w:w="2552" w:type="dxa"/>
          </w:tcPr>
          <w:p w:rsidR="007C3BA7" w:rsidRDefault="00BE603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Profesió</w:t>
            </w:r>
            <w:r w:rsidR="009058CC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n:</w:t>
            </w:r>
          </w:p>
        </w:tc>
        <w:tc>
          <w:tcPr>
            <w:tcW w:w="5103" w:type="dxa"/>
          </w:tcPr>
          <w:p w:rsidR="007C3BA7" w:rsidRDefault="009058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Economista</w:t>
            </w:r>
            <w:r w:rsidR="00BE6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(colegiado)</w:t>
            </w:r>
          </w:p>
        </w:tc>
      </w:tr>
      <w:tr w:rsidR="007C3BA7">
        <w:tc>
          <w:tcPr>
            <w:tcW w:w="2552" w:type="dxa"/>
          </w:tcPr>
          <w:p w:rsidR="007C3BA7" w:rsidRDefault="009058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Fecha de Nacimiento: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7C3BA7" w:rsidRDefault="009058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1º de noviembre de 1960</w:t>
            </w:r>
          </w:p>
        </w:tc>
      </w:tr>
      <w:tr w:rsidR="007C3BA7">
        <w:tc>
          <w:tcPr>
            <w:tcW w:w="2552" w:type="dxa"/>
          </w:tcPr>
          <w:p w:rsidR="007C3BA7" w:rsidRDefault="009058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Dirección domicilio: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BE6039" w:rsidRDefault="00BE603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 Rio de Janeiro 140 interior M – Jesús María</w:t>
            </w:r>
          </w:p>
          <w:p w:rsidR="00BE6039" w:rsidRPr="00BE6039" w:rsidRDefault="00BE603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5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Lima - PERU.</w:t>
            </w:r>
          </w:p>
        </w:tc>
      </w:tr>
      <w:tr w:rsidR="007C3BA7">
        <w:tc>
          <w:tcPr>
            <w:tcW w:w="2552" w:type="dxa"/>
          </w:tcPr>
          <w:p w:rsidR="007C3BA7" w:rsidRDefault="009058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Nacionalidad: </w:t>
            </w:r>
          </w:p>
        </w:tc>
        <w:tc>
          <w:tcPr>
            <w:tcW w:w="5103" w:type="dxa"/>
          </w:tcPr>
          <w:p w:rsidR="007C3BA7" w:rsidRDefault="009058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Peruana y Española.</w:t>
            </w:r>
          </w:p>
        </w:tc>
      </w:tr>
    </w:tbl>
    <w:p w:rsidR="007C3BA7" w:rsidRDefault="007C3BA7">
      <w:pPr>
        <w:tabs>
          <w:tab w:val="left" w:pos="-720"/>
        </w:tabs>
        <w:jc w:val="both"/>
      </w:pPr>
    </w:p>
    <w:p w:rsidR="007C3BA7" w:rsidRDefault="007C3BA7">
      <w:pPr>
        <w:tabs>
          <w:tab w:val="left" w:pos="-720"/>
        </w:tabs>
        <w:jc w:val="both"/>
      </w:pPr>
    </w:p>
    <w:p w:rsidR="007C3BA7" w:rsidRDefault="009058CC">
      <w:pPr>
        <w:keepNext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Resumen </w:t>
      </w:r>
    </w:p>
    <w:p w:rsidR="007C3BA7" w:rsidRDefault="007C3BA7">
      <w:pPr>
        <w:jc w:val="both"/>
      </w:pPr>
    </w:p>
    <w:p w:rsidR="007C3BA7" w:rsidRDefault="009058CC">
      <w:pPr>
        <w:numPr>
          <w:ilvl w:val="0"/>
          <w:numId w:val="1"/>
        </w:numPr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Economista, investigador y consultor experto en Pobreza, Salud y Políticas Sociales.</w:t>
      </w:r>
    </w:p>
    <w:p w:rsidR="007C3BA7" w:rsidRDefault="007C3BA7">
      <w:pPr>
        <w:ind w:left="340"/>
        <w:jc w:val="both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Magíster en Economía, Pontificia Universidad Católica del Perú, 1994. </w:t>
      </w:r>
    </w:p>
    <w:p w:rsidR="007C3BA7" w:rsidRPr="002731A0" w:rsidRDefault="007C3BA7" w:rsidP="002731A0">
      <w:pPr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1A0" w:rsidRPr="002731A0" w:rsidRDefault="002731A0" w:rsidP="002731A0">
      <w:pPr>
        <w:numPr>
          <w:ilvl w:val="0"/>
          <w:numId w:val="1"/>
        </w:numPr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A0">
        <w:rPr>
          <w:rFonts w:ascii="Times New Roman" w:eastAsia="Times New Roman" w:hAnsi="Times New Roman" w:cs="Times New Roman"/>
          <w:sz w:val="24"/>
          <w:szCs w:val="24"/>
        </w:rPr>
        <w:t>Experiencia Docente:</w:t>
      </w:r>
    </w:p>
    <w:p w:rsidR="002731A0" w:rsidRDefault="002731A0" w:rsidP="002731A0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7C3BA7" w:rsidRPr="002731A0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 Principal del Departamento de Economía de la Pontificia Universidad Católica del Perú donde enseño desde 1995. </w:t>
      </w:r>
      <w:r w:rsidR="002731A0">
        <w:rPr>
          <w:rFonts w:ascii="Times New Roman" w:eastAsia="Times New Roman" w:hAnsi="Times New Roman" w:cs="Times New Roman"/>
          <w:sz w:val="24"/>
          <w:szCs w:val="24"/>
        </w:rPr>
        <w:t>Cursos dictados recientemente: Seminario de Economía Peruana, Pobreza y Políticas Sociales, Seminario de Tesis 1 y 2 y Teoría del desarrollo, en la facultad de Ciencias Sociales. Cursos dictados en las maestrías de Derechos Humanos y de Gerencia Social.</w:t>
      </w:r>
    </w:p>
    <w:p w:rsidR="002731A0" w:rsidRDefault="002731A0" w:rsidP="002731A0">
      <w:pPr>
        <w:pStyle w:val="Prrafodelista"/>
      </w:pPr>
    </w:p>
    <w:p w:rsidR="002731A0" w:rsidRPr="002731A0" w:rsidRDefault="002731A0">
      <w:pPr>
        <w:numPr>
          <w:ilvl w:val="0"/>
          <w:numId w:val="1"/>
        </w:numPr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A0">
        <w:rPr>
          <w:rFonts w:ascii="Times New Roman" w:eastAsia="Times New Roman" w:hAnsi="Times New Roman" w:cs="Times New Roman"/>
          <w:sz w:val="24"/>
          <w:szCs w:val="24"/>
        </w:rPr>
        <w:t xml:space="preserve">Cursos de nivel de maestría dictados en </w:t>
      </w:r>
      <w:r>
        <w:rPr>
          <w:rFonts w:ascii="Times New Roman" w:eastAsia="Times New Roman" w:hAnsi="Times New Roman" w:cs="Times New Roman"/>
          <w:sz w:val="24"/>
          <w:szCs w:val="24"/>
        </w:rPr>
        <w:t>la Universidad Peruana Cayetano</w:t>
      </w:r>
      <w:r w:rsidRPr="002731A0">
        <w:rPr>
          <w:rFonts w:ascii="Times New Roman" w:eastAsia="Times New Roman" w:hAnsi="Times New Roman" w:cs="Times New Roman"/>
          <w:sz w:val="24"/>
          <w:szCs w:val="24"/>
        </w:rPr>
        <w:t xml:space="preserve"> Heredia </w:t>
      </w:r>
      <w:r>
        <w:rPr>
          <w:rFonts w:ascii="Times New Roman" w:eastAsia="Times New Roman" w:hAnsi="Times New Roman" w:cs="Times New Roman"/>
          <w:sz w:val="24"/>
          <w:szCs w:val="24"/>
        </w:rPr>
        <w:t>y en la Universid</w:t>
      </w:r>
      <w:r w:rsidRPr="002731A0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sz w:val="24"/>
          <w:szCs w:val="24"/>
        </w:rPr>
        <w:t>San Martín de Porras, así como a nivel d</w:t>
      </w:r>
      <w:r w:rsidRPr="002731A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A0">
        <w:rPr>
          <w:rFonts w:ascii="Times New Roman" w:eastAsia="Times New Roman" w:hAnsi="Times New Roman" w:cs="Times New Roman"/>
          <w:sz w:val="24"/>
          <w:szCs w:val="24"/>
        </w:rPr>
        <w:t>pre-grado en la universidad del pacífico.</w:t>
      </w:r>
    </w:p>
    <w:p w:rsidR="007C3BA7" w:rsidRDefault="007C3BA7">
      <w:pPr>
        <w:ind w:left="340"/>
        <w:jc w:val="both"/>
      </w:pPr>
    </w:p>
    <w:p w:rsidR="007C3BA7" w:rsidRDefault="009058CC">
      <w:pPr>
        <w:numPr>
          <w:ilvl w:val="0"/>
          <w:numId w:val="1"/>
        </w:numPr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Experiencia en gestión </w:t>
      </w:r>
      <w:r w:rsidR="00BE6039">
        <w:rPr>
          <w:rFonts w:ascii="Times New Roman" w:eastAsia="Times New Roman" w:hAnsi="Times New Roman" w:cs="Times New Roman"/>
          <w:sz w:val="24"/>
          <w:szCs w:val="24"/>
        </w:rPr>
        <w:t xml:space="preserve">pública 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programas sociales: </w:t>
      </w:r>
    </w:p>
    <w:p w:rsidR="007C3BA7" w:rsidRDefault="007C3BA7">
      <w:pPr>
        <w:ind w:left="708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Gerente General de Essalud entre agosto 2011 y abril 2012. EsSalud es la entidad responsable de la seguridad social en salud en el Perú</w:t>
      </w:r>
      <w:r w:rsidR="00BE6039">
        <w:rPr>
          <w:rFonts w:ascii="Times New Roman" w:eastAsia="Times New Roman" w:hAnsi="Times New Roman" w:cs="Times New Roman"/>
          <w:sz w:val="24"/>
          <w:szCs w:val="24"/>
        </w:rPr>
        <w:t>, en ese entonces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más de 45 mil trabajadores, 318 establecimientos de salud, 20 millones de consultas anuales y 400 mil cirugías,</w:t>
      </w:r>
      <w:r w:rsidR="00BE6039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un presupuesto anual superior a 7,000 millones de soles. Establecimos un sistema de incentivos a los trabajadores y renegociamos y dejamos listos a funcionar 2 contratos de Alianzas público-privadas para la atención a 500 mil asegurados.</w:t>
      </w:r>
    </w:p>
    <w:p w:rsidR="007C3BA7" w:rsidRDefault="007C3BA7">
      <w:pPr>
        <w:ind w:left="708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Presidente del Directorio del Sistema Metropolitano de la Solidaridad (SISOL) de la Municipalidad de Lima entre enero y agosto 2011. SISOL dirige 15 “Hospitales de la Solidaridad” en Lima, 8 en regiones y 10 centros médicos municipales, con un innovador esquema de contratación a proveedores privados en especialidades médicas que realiza 11 millones de consultas anuales. En 6 meses se pusieron en operación 2 hospitales y construido otros 2, aumentando en 300 mil las atenciones brindadas.</w:t>
      </w:r>
    </w:p>
    <w:p w:rsidR="007C3BA7" w:rsidRDefault="007C3BA7">
      <w:pPr>
        <w:jc w:val="both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Ejecutivo de FONCODES entre 2001 y 2002. FONCODES es un fondo de inversión social que tenía </w:t>
      </w:r>
      <w:r w:rsidR="00BE6039">
        <w:rPr>
          <w:rFonts w:ascii="Times New Roman" w:eastAsia="Times New Roman" w:hAnsi="Times New Roman" w:cs="Times New Roman"/>
          <w:sz w:val="24"/>
          <w:szCs w:val="24"/>
        </w:rPr>
        <w:t xml:space="preserve">entonces </w:t>
      </w:r>
      <w:r>
        <w:rPr>
          <w:rFonts w:ascii="Times New Roman" w:eastAsia="Times New Roman" w:hAnsi="Times New Roman" w:cs="Times New Roman"/>
          <w:sz w:val="24"/>
          <w:szCs w:val="24"/>
        </w:rPr>
        <w:t>un presupuesto de 900 millones de soles anuales. Pusimos en funcionamiento el programa “A Trabajar”, en 5 meses iniciamos más de 1,000 pequeños proyectos contratando a 60 mil personas.</w:t>
      </w:r>
    </w:p>
    <w:p w:rsidR="007C3BA7" w:rsidRDefault="007C3BA7">
      <w:pPr>
        <w:ind w:left="708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Secretario Técnico del Comité Interministerial de Asuntos Sociales 2001-2002. En menos de 3 meses organizamos la Mesa de Cooperación Internacional que se realizó en Madrid en octubre 2001 y que logró más de 1,400 millones de dólares de fondos de cooperación</w:t>
      </w:r>
      <w:r w:rsidR="00BE6039">
        <w:rPr>
          <w:rFonts w:ascii="Times New Roman" w:eastAsia="Times New Roman" w:hAnsi="Times New Roman" w:cs="Times New Roman"/>
          <w:sz w:val="24"/>
          <w:szCs w:val="24"/>
        </w:rPr>
        <w:t xml:space="preserve"> en favor del Perú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BA7" w:rsidRDefault="007C3BA7">
      <w:pPr>
        <w:ind w:left="708"/>
      </w:pPr>
    </w:p>
    <w:p w:rsidR="007C3BA7" w:rsidRDefault="009058CC">
      <w:pPr>
        <w:numPr>
          <w:ilvl w:val="0"/>
          <w:numId w:val="1"/>
        </w:numPr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Experiencia en diseño y evaluación de políticas y programas sociales:</w:t>
      </w:r>
    </w:p>
    <w:p w:rsidR="007C3BA7" w:rsidRDefault="007C3BA7">
      <w:pPr>
        <w:jc w:val="both"/>
      </w:pPr>
    </w:p>
    <w:p w:rsidR="007C3BA7" w:rsidRDefault="00BE6039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Economista S</w:t>
      </w:r>
      <w:r w:rsidR="009058CC">
        <w:rPr>
          <w:rFonts w:ascii="Times New Roman" w:eastAsia="Times New Roman" w:hAnsi="Times New Roman" w:cs="Times New Roman"/>
          <w:sz w:val="24"/>
          <w:szCs w:val="24"/>
        </w:rPr>
        <w:t>enior de Desarrollo Humano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Banco Mundial</w:t>
      </w:r>
      <w:r w:rsidR="009058CC">
        <w:rPr>
          <w:rFonts w:ascii="Times New Roman" w:eastAsia="Times New Roman" w:hAnsi="Times New Roman" w:cs="Times New Roman"/>
          <w:sz w:val="24"/>
          <w:szCs w:val="24"/>
        </w:rPr>
        <w:t>, División Boli</w:t>
      </w:r>
      <w:r>
        <w:rPr>
          <w:rFonts w:ascii="Times New Roman" w:eastAsia="Times New Roman" w:hAnsi="Times New Roman" w:cs="Times New Roman"/>
          <w:sz w:val="24"/>
          <w:szCs w:val="24"/>
        </w:rPr>
        <w:t>via, Perú, Ecuador y Venezuela</w:t>
      </w:r>
      <w:r w:rsidR="009058CC">
        <w:rPr>
          <w:rFonts w:ascii="Times New Roman" w:eastAsia="Times New Roman" w:hAnsi="Times New Roman" w:cs="Times New Roman"/>
          <w:sz w:val="24"/>
          <w:szCs w:val="24"/>
        </w:rPr>
        <w:t>, 2003-2004.</w:t>
      </w:r>
    </w:p>
    <w:p w:rsidR="007C3BA7" w:rsidRDefault="007C3BA7">
      <w:pPr>
        <w:ind w:left="680"/>
        <w:jc w:val="both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Consultorías </w:t>
      </w:r>
      <w:r w:rsidR="00BE6039">
        <w:rPr>
          <w:rFonts w:ascii="Times New Roman" w:eastAsia="Times New Roman" w:hAnsi="Times New Roman" w:cs="Times New Roman"/>
          <w:sz w:val="24"/>
          <w:szCs w:val="24"/>
        </w:rPr>
        <w:t xml:space="preserve">hechas </w:t>
      </w:r>
      <w:r>
        <w:rPr>
          <w:rFonts w:ascii="Times New Roman" w:eastAsia="Times New Roman" w:hAnsi="Times New Roman" w:cs="Times New Roman"/>
          <w:sz w:val="24"/>
          <w:szCs w:val="24"/>
        </w:rPr>
        <w:t>para el BID, Banco Mundial, OPS, OIT, PNUD y otros organismos internacionales.</w:t>
      </w:r>
    </w:p>
    <w:p w:rsidR="007C3BA7" w:rsidRDefault="007C3BA7">
      <w:pPr>
        <w:ind w:left="708"/>
      </w:pPr>
    </w:p>
    <w:p w:rsidR="007C3BA7" w:rsidRDefault="00BE6039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Trabajos realizados en </w:t>
      </w:r>
      <w:r w:rsidR="009058CC">
        <w:rPr>
          <w:rFonts w:ascii="Times New Roman" w:eastAsia="Times New Roman" w:hAnsi="Times New Roman" w:cs="Times New Roman"/>
          <w:sz w:val="24"/>
          <w:szCs w:val="24"/>
        </w:rPr>
        <w:t>el Ministerio de Salud, Ministerio de Economía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Finanzas y Banco Central de R</w:t>
      </w:r>
      <w:r w:rsidR="009058CC">
        <w:rPr>
          <w:rFonts w:ascii="Times New Roman" w:eastAsia="Times New Roman" w:hAnsi="Times New Roman" w:cs="Times New Roman"/>
          <w:sz w:val="24"/>
          <w:szCs w:val="24"/>
        </w:rPr>
        <w:t>eserva del Perú</w:t>
      </w:r>
      <w:r>
        <w:rPr>
          <w:rFonts w:ascii="Times New Roman" w:eastAsia="Times New Roman" w:hAnsi="Times New Roman" w:cs="Times New Roman"/>
          <w:sz w:val="24"/>
          <w:szCs w:val="24"/>
        </w:rPr>
        <w:t>, donde trabajé como profesional durante 15 años</w:t>
      </w:r>
      <w:r w:rsidR="009058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BA7" w:rsidRDefault="007C3BA7">
      <w:pPr>
        <w:ind w:left="708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Más de 50 artículos, libros y publicaciones científicas.</w:t>
      </w:r>
      <w:r w:rsidR="00980C33">
        <w:rPr>
          <w:rFonts w:ascii="Times New Roman" w:eastAsia="Times New Roman" w:hAnsi="Times New Roman" w:cs="Times New Roman"/>
          <w:sz w:val="24"/>
          <w:szCs w:val="24"/>
        </w:rPr>
        <w:t xml:space="preserve"> Tengo una columna semanal publicada en la revista Hildebrandt en sus Trece desde hace 4 años y en Diario Uno.</w:t>
      </w:r>
    </w:p>
    <w:p w:rsidR="007C3BA7" w:rsidRDefault="007C3BA7">
      <w:pPr>
        <w:ind w:left="340"/>
        <w:jc w:val="both"/>
      </w:pPr>
    </w:p>
    <w:p w:rsidR="007C3BA7" w:rsidRDefault="009058CC">
      <w:pPr>
        <w:numPr>
          <w:ilvl w:val="0"/>
          <w:numId w:val="1"/>
        </w:numPr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Amplia participación profesional y gerencial en ONGs y sociedad civil. </w:t>
      </w:r>
    </w:p>
    <w:p w:rsidR="007C3BA7" w:rsidRDefault="007C3BA7">
      <w:pPr>
        <w:ind w:left="708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Coordinador Nacional del Foro de la Sociedad Civil en Salud,  ForoSalud, agosto 2004-julio 2006. </w:t>
      </w:r>
    </w:p>
    <w:p w:rsidR="007C3BA7" w:rsidRDefault="007C3BA7">
      <w:pPr>
        <w:ind w:left="708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del Observatorio por el Derecho a la Salud del Consorcio de Investigación Económica y Social, 2005. </w:t>
      </w:r>
    </w:p>
    <w:p w:rsidR="007C3BA7" w:rsidRDefault="007C3BA7">
      <w:pPr>
        <w:ind w:left="708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de las revistas “Actualidad Económica” y “Bajo la Lupa”. </w:t>
      </w:r>
    </w:p>
    <w:p w:rsidR="007C3BA7" w:rsidRDefault="007C3BA7">
      <w:pPr>
        <w:ind w:left="708"/>
      </w:pPr>
    </w:p>
    <w:p w:rsidR="007C3BA7" w:rsidRDefault="009058CC">
      <w:pPr>
        <w:numPr>
          <w:ilvl w:val="0"/>
          <w:numId w:val="1"/>
        </w:numPr>
        <w:ind w:left="680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Miembro y directivo de las ONGs APRODEH y Cooperacción</w:t>
      </w:r>
      <w:r w:rsidR="00BE6039">
        <w:rPr>
          <w:rFonts w:ascii="Times New Roman" w:eastAsia="Times New Roman" w:hAnsi="Times New Roman" w:cs="Times New Roman"/>
          <w:sz w:val="24"/>
          <w:szCs w:val="24"/>
        </w:rPr>
        <w:t xml:space="preserve"> en la a</w:t>
      </w:r>
      <w:r w:rsidR="00980C33">
        <w:rPr>
          <w:rFonts w:ascii="Times New Roman" w:eastAsia="Times New Roman" w:hAnsi="Times New Roman" w:cs="Times New Roman"/>
          <w:sz w:val="24"/>
          <w:szCs w:val="24"/>
        </w:rPr>
        <w:t>c</w:t>
      </w:r>
      <w:r w:rsidR="00BE6039">
        <w:rPr>
          <w:rFonts w:ascii="Times New Roman" w:eastAsia="Times New Roman" w:hAnsi="Times New Roman" w:cs="Times New Roman"/>
          <w:sz w:val="24"/>
          <w:szCs w:val="24"/>
        </w:rPr>
        <w:t>tualidad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 anteriormente de CEDAL. </w:t>
      </w:r>
    </w:p>
    <w:p w:rsidR="007C3BA7" w:rsidRDefault="007C3BA7">
      <w:pPr>
        <w:ind w:left="708"/>
      </w:pPr>
    </w:p>
    <w:p w:rsidR="007C3BA7" w:rsidRDefault="009058CC">
      <w:pPr>
        <w:ind w:left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BA7" w:rsidRDefault="009058CC">
      <w:pPr>
        <w:tabs>
          <w:tab w:val="left" w:pos="-720"/>
        </w:tabs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Inves</w:t>
      </w:r>
      <w:r w:rsidR="006573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tigaciones Publicadas desde el año 2000</w:t>
      </w:r>
    </w:p>
    <w:p w:rsidR="007C3BA7" w:rsidRDefault="007C3BA7">
      <w:pPr>
        <w:tabs>
          <w:tab w:val="left" w:pos="-720"/>
        </w:tabs>
        <w:jc w:val="both"/>
      </w:pPr>
    </w:p>
    <w:p w:rsidR="00AA18D8" w:rsidRDefault="00AA18D8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9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80C33">
        <w:rPr>
          <w:rFonts w:ascii="Times New Roman" w:eastAsia="Times New Roman" w:hAnsi="Times New Roman" w:cs="Times New Roman"/>
          <w:i/>
          <w:sz w:val="24"/>
          <w:szCs w:val="24"/>
        </w:rPr>
        <w:t>Overcoming social segregation in health care in Latin America</w:t>
      </w:r>
      <w:r w:rsidRPr="00BF4B9B">
        <w:rPr>
          <w:rFonts w:ascii="Times New Roman" w:eastAsia="Times New Roman" w:hAnsi="Times New Roman" w:cs="Times New Roman"/>
          <w:sz w:val="24"/>
          <w:szCs w:val="24"/>
        </w:rPr>
        <w:t xml:space="preserve">”, junto con Daniel Cotlear, Octavio Gómez-Dantés, Felicia Knaul, Rifat Atun, Ivana C H C Barreto , Oscar Cetrángolo, Marcos Cueto, Pedro Francke, Patricia Frenz, Ramiro Guerrero, Rafael Lozano, Robert Marten, Rocío Sáenz, </w:t>
      </w:r>
      <w:r w:rsidR="00BF4B9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BF4B9B" w:rsidRPr="00BF4B9B">
        <w:rPr>
          <w:rFonts w:ascii="Times New Roman" w:eastAsia="Times New Roman" w:hAnsi="Times New Roman" w:cs="Times New Roman"/>
          <w:i/>
          <w:sz w:val="24"/>
          <w:szCs w:val="24"/>
        </w:rPr>
        <w:t>The Lancet</w:t>
      </w:r>
      <w:r w:rsidR="00BF4B9B" w:rsidRPr="00BF4B9B">
        <w:rPr>
          <w:rFonts w:ascii="Times New Roman" w:eastAsia="Times New Roman" w:hAnsi="Times New Roman" w:cs="Times New Roman"/>
          <w:sz w:val="24"/>
          <w:szCs w:val="24"/>
        </w:rPr>
        <w:t xml:space="preserve">, Universal health coverage in Latin America </w:t>
      </w:r>
      <w:r w:rsidR="00BF4B9B">
        <w:rPr>
          <w:rFonts w:ascii="Times New Roman" w:eastAsia="Times New Roman" w:hAnsi="Times New Roman" w:cs="Times New Roman"/>
          <w:sz w:val="24"/>
          <w:szCs w:val="24"/>
        </w:rPr>
        <w:t xml:space="preserve">Series </w:t>
      </w:r>
      <w:r w:rsidR="00BF4B9B" w:rsidRPr="00BF4B9B">
        <w:rPr>
          <w:rFonts w:ascii="Times New Roman" w:eastAsia="Times New Roman" w:hAnsi="Times New Roman" w:cs="Times New Roman"/>
          <w:sz w:val="24"/>
          <w:szCs w:val="24"/>
        </w:rPr>
        <w:t xml:space="preserve">2,  </w:t>
      </w:r>
      <w:r w:rsidR="00BF4B9B">
        <w:rPr>
          <w:rFonts w:ascii="Times New Roman" w:eastAsia="Times New Roman" w:hAnsi="Times New Roman" w:cs="Times New Roman"/>
          <w:sz w:val="24"/>
          <w:szCs w:val="24"/>
        </w:rPr>
        <w:t xml:space="preserve">publicado online </w:t>
      </w:r>
      <w:r w:rsidR="00BF4B9B" w:rsidRPr="00BF4B9B">
        <w:rPr>
          <w:rFonts w:ascii="Times New Roman" w:eastAsia="Times New Roman" w:hAnsi="Times New Roman" w:cs="Times New Roman"/>
          <w:sz w:val="24"/>
          <w:szCs w:val="24"/>
        </w:rPr>
        <w:t xml:space="preserve">October 16, 2014 </w:t>
      </w:r>
    </w:p>
    <w:p w:rsidR="00E731B2" w:rsidRDefault="00E731B2" w:rsidP="00E731B2">
      <w:pPr>
        <w:tabs>
          <w:tab w:val="left" w:pos="-720"/>
        </w:tabs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1B2" w:rsidRDefault="00E731B2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1B2">
        <w:rPr>
          <w:rFonts w:ascii="Times New Roman" w:eastAsia="Times New Roman" w:hAnsi="Times New Roman" w:cs="Times New Roman"/>
          <w:sz w:val="24"/>
          <w:szCs w:val="24"/>
        </w:rPr>
        <w:lastRenderedPageBreak/>
        <w:t>“Peru’s Comprehensive Health Insurance and New Challenges for Universal Coverage</w:t>
      </w:r>
      <w:r w:rsidR="00E105B0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E731B2">
        <w:rPr>
          <w:rFonts w:ascii="Times New Roman" w:eastAsia="Times New Roman" w:hAnsi="Times New Roman" w:cs="Times New Roman"/>
          <w:sz w:val="24"/>
          <w:szCs w:val="24"/>
        </w:rPr>
        <w:t> UNICO Studies Series;No. 11. </w:t>
      </w:r>
      <w:r w:rsidR="00E105B0">
        <w:rPr>
          <w:rFonts w:ascii="Times New Roman" w:eastAsia="Times New Roman" w:hAnsi="Times New Roman" w:cs="Times New Roman"/>
          <w:sz w:val="24"/>
          <w:szCs w:val="24"/>
        </w:rPr>
        <w:t>World Bank, Washington DC, 2013.</w:t>
      </w:r>
    </w:p>
    <w:p w:rsidR="00FD5859" w:rsidRDefault="00FD5859" w:rsidP="00FD5859">
      <w:pPr>
        <w:tabs>
          <w:tab w:val="left" w:pos="-720"/>
        </w:tabs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859" w:rsidRPr="00980C33" w:rsidRDefault="00FD5859" w:rsidP="00FD5859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>Evaluación de Impacto en Salud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con Mariana Ballén, Javier Paulini y Edgardo Cruzado, en </w:t>
      </w:r>
      <w:hyperlink r:id="rId6" w:history="1">
        <w:r w:rsidRPr="00980C33">
          <w:rPr>
            <w:rFonts w:ascii="Times New Roman" w:eastAsia="Times New Roman" w:hAnsi="Times New Roman" w:cs="Times New Roman"/>
            <w:sz w:val="24"/>
            <w:szCs w:val="24"/>
          </w:rPr>
          <w:t xml:space="preserve">Petrera, M.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(Comp.): “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>Promoviendo el derecho a la salud de los más pobres: cinco estudios de interés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>  Consorcio de Investigación Económica y Social</w:t>
      </w:r>
      <w:r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:rsidR="00AA18D8" w:rsidRPr="00AA18D8" w:rsidRDefault="00AA18D8" w:rsidP="00BF4B9B">
      <w:pPr>
        <w:tabs>
          <w:tab w:val="left" w:pos="-720"/>
        </w:tabs>
        <w:ind w:left="340"/>
        <w:jc w:val="both"/>
      </w:pPr>
    </w:p>
    <w:p w:rsidR="00980C33" w:rsidRDefault="00980C33" w:rsidP="00980C33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citation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Dani Rodrik y la economía del desarrollo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, en Economía /; Vol. 34, no. 68 (Jul.-dic. 2011)</w:t>
      </w:r>
    </w:p>
    <w:p w:rsidR="00980C33" w:rsidRDefault="00980C33" w:rsidP="00980C33">
      <w:pPr>
        <w:pStyle w:val="Prrafodelista"/>
        <w:rPr>
          <w:rFonts w:ascii="Georgia" w:hAnsi="Georgia"/>
          <w:color w:val="333333"/>
          <w:sz w:val="29"/>
          <w:szCs w:val="29"/>
          <w:bdr w:val="none" w:sz="0" w:space="0" w:color="auto" w:frame="1"/>
        </w:rPr>
      </w:pPr>
    </w:p>
    <w:p w:rsidR="00980C33" w:rsidRDefault="00980C33" w:rsidP="00980C33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Iniciando un debate con Waldo Mendoza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, en Economía /; Vol. 33, no. 65 (Ene.-jun. 2010)</w:t>
      </w:r>
    </w:p>
    <w:p w:rsidR="00FD5859" w:rsidRDefault="00FD5859" w:rsidP="00FD5859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859" w:rsidRDefault="00FD5859" w:rsidP="00FD5859">
      <w:pPr>
        <w:numPr>
          <w:ilvl w:val="0"/>
          <w:numId w:val="2"/>
        </w:numPr>
        <w:tabs>
          <w:tab w:val="left" w:pos="-720"/>
        </w:tabs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“Políticas para un crecimiento con equidad, en “Opciones de política económica en el Perú 2011-2015”, J. Rodríguez y M. Tello eds, Fondo Editorial PUCP, 2010.</w:t>
      </w:r>
    </w:p>
    <w:p w:rsidR="00FD5859" w:rsidRDefault="00FD5859" w:rsidP="00FD5859">
      <w:pPr>
        <w:tabs>
          <w:tab w:val="left" w:pos="-720"/>
        </w:tabs>
        <w:ind w:left="340"/>
        <w:jc w:val="both"/>
      </w:pPr>
    </w:p>
    <w:p w:rsidR="00FD5859" w:rsidRDefault="00FD5859" w:rsidP="00FD5859">
      <w:pPr>
        <w:numPr>
          <w:ilvl w:val="0"/>
          <w:numId w:val="2"/>
        </w:numPr>
        <w:tabs>
          <w:tab w:val="left" w:pos="-720"/>
        </w:tabs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“El Sistema Privado de Pensiones peruano: balance y perspectivas”, en “Crisis financiera mundial y sus efectos en el Sistema privado de pensiones”, Congreso de la República – Comisión de seguridad social, 2009.</w:t>
      </w:r>
    </w:p>
    <w:p w:rsidR="00980C33" w:rsidRDefault="00980C33" w:rsidP="00980C33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980C33" w:rsidRDefault="00980C33" w:rsidP="00980C33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Propuesta de programa anticrisis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Brújula - </w:t>
      </w:r>
      <w:r>
        <w:rPr>
          <w:rFonts w:ascii="Arial" w:hAnsi="Arial" w:cs="Arial"/>
          <w:color w:val="545454"/>
          <w:shd w:val="clear" w:color="auto" w:fill="FFFFFF"/>
        </w:rPr>
        <w:t>A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>sociación de Egresados y Graduados de la Pontificia Universidad Católica del Perú</w:t>
      </w:r>
      <w:r w:rsidR="008879DA">
        <w:rPr>
          <w:rFonts w:ascii="Times New Roman" w:eastAsia="Times New Roman" w:hAnsi="Times New Roman" w:cs="Times New Roman"/>
          <w:sz w:val="24"/>
          <w:szCs w:val="24"/>
        </w:rPr>
        <w:t>; Año 10, no. 18, 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C33" w:rsidRDefault="00980C33" w:rsidP="00980C33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A41A93" w:rsidRDefault="00980C33" w:rsidP="00980C33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Un milagro no fue suficiente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, en Pobreza, desigualdad y desarrollo en el P</w:t>
      </w:r>
      <w:r>
        <w:rPr>
          <w:rFonts w:ascii="Times New Roman" w:eastAsia="Times New Roman" w:hAnsi="Times New Roman" w:cs="Times New Roman"/>
          <w:sz w:val="24"/>
          <w:szCs w:val="24"/>
        </w:rPr>
        <w:t>erú :</w:t>
      </w:r>
      <w:r w:rsidR="008879DA">
        <w:rPr>
          <w:rFonts w:ascii="Times New Roman" w:eastAsia="Times New Roman" w:hAnsi="Times New Roman" w:cs="Times New Roman"/>
          <w:sz w:val="24"/>
          <w:szCs w:val="24"/>
        </w:rPr>
        <w:t xml:space="preserve"> informe anual 2008-2009, Oxfam,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2849AB" w:rsidRPr="00980C33" w:rsidRDefault="002849AB" w:rsidP="002849AB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AB" w:rsidRPr="00980C33" w:rsidRDefault="002849AB" w:rsidP="002849AB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>Análisis, criticas y recomendaciones para mejorar el funcionamiento de los Fondos Sociales / Fideicomisos Mineros</w:t>
      </w:r>
      <w:r>
        <w:rPr>
          <w:rFonts w:ascii="Times New Roman" w:eastAsia="Times New Roman" w:hAnsi="Times New Roman" w:cs="Times New Roman"/>
          <w:sz w:val="24"/>
          <w:szCs w:val="24"/>
        </w:rPr>
        <w:t>”, con Armando Mendoza y Edgardo Cruzado,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Cooperacción, Lima, 2009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849AB" w:rsidRDefault="002849AB" w:rsidP="002849AB">
      <w:pPr>
        <w:tabs>
          <w:tab w:val="left" w:pos="-720"/>
        </w:tabs>
        <w:jc w:val="both"/>
      </w:pPr>
    </w:p>
    <w:p w:rsidR="002849AB" w:rsidRPr="00051707" w:rsidRDefault="002849AB" w:rsidP="002849AB">
      <w:pPr>
        <w:numPr>
          <w:ilvl w:val="0"/>
          <w:numId w:val="2"/>
        </w:numPr>
        <w:tabs>
          <w:tab w:val="left" w:pos="-720"/>
        </w:tabs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“Análisis de la eficiencia del gasto municipal y de sus determinantes”, junto con Pedro Herrera, Revista Economía, vol. XXXII N° 63, enero-junio 2009, Fondo Editorial PUCP.</w:t>
      </w:r>
    </w:p>
    <w:p w:rsidR="002849AB" w:rsidRDefault="002849AB" w:rsidP="002849AB">
      <w:pPr>
        <w:pStyle w:val="Prrafodelista"/>
      </w:pPr>
    </w:p>
    <w:p w:rsidR="002849AB" w:rsidRPr="008879DA" w:rsidRDefault="002849AB" w:rsidP="002849AB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Crisis económica y política social: una evaluación</w:t>
      </w:r>
      <w:r>
        <w:rPr>
          <w:rFonts w:ascii="Times New Roman" w:eastAsia="Times New Roman" w:hAnsi="Times New Roman" w:cs="Times New Roman"/>
          <w:sz w:val="24"/>
          <w:szCs w:val="24"/>
        </w:rPr>
        <w:t>”, con Edgardo Cruzado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 xml:space="preserve">. En Oscar Dancourt y Félix Jiménez Editores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Crisis internacional. Impactos y respuesta de política económica en el Peru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LIMA: fondo editorial de la PUCP</w:t>
      </w:r>
      <w:r>
        <w:rPr>
          <w:rFonts w:ascii="Times New Roman" w:eastAsia="Times New Roman" w:hAnsi="Times New Roman" w:cs="Times New Roman"/>
          <w:sz w:val="24"/>
          <w:szCs w:val="24"/>
        </w:rPr>
        <w:t>, 2009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AB" w:rsidRPr="008879DA" w:rsidRDefault="002849AB" w:rsidP="002849AB">
      <w:pPr>
        <w:tabs>
          <w:tab w:val="left" w:pos="-720"/>
        </w:tabs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AB" w:rsidRDefault="002849AB" w:rsidP="002849AB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Transferencias Monetarias Condicionadas e Instrumentos Financieros en la lucha contra la Pobreza</w:t>
      </w:r>
      <w:r>
        <w:rPr>
          <w:rFonts w:ascii="Times New Roman" w:eastAsia="Times New Roman" w:hAnsi="Times New Roman" w:cs="Times New Roman"/>
          <w:sz w:val="24"/>
          <w:szCs w:val="24"/>
        </w:rPr>
        <w:t>” con Edgardo Cruzado,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LIMA: Proyecto Capital, 2009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849AB" w:rsidRPr="008879DA" w:rsidRDefault="002849AB" w:rsidP="002849AB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AB" w:rsidRPr="002849AB" w:rsidRDefault="002849AB" w:rsidP="002849AB">
      <w:pPr>
        <w:numPr>
          <w:ilvl w:val="0"/>
          <w:numId w:val="2"/>
        </w:numPr>
        <w:tabs>
          <w:tab w:val="left" w:pos="-720"/>
        </w:tabs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“Balance de las investigaciones económicas y sociales en el Perú 2004-2007”, sección referida a la salud, CIES, Lima 2008.</w:t>
      </w:r>
    </w:p>
    <w:p w:rsidR="002849AB" w:rsidRDefault="002849AB" w:rsidP="002849AB">
      <w:pPr>
        <w:tabs>
          <w:tab w:val="left" w:pos="-720"/>
        </w:tabs>
        <w:jc w:val="both"/>
      </w:pPr>
    </w:p>
    <w:p w:rsidR="002849AB" w:rsidRPr="008879DA" w:rsidRDefault="002849AB" w:rsidP="002849AB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9AB">
        <w:rPr>
          <w:rFonts w:ascii="Times New Roman" w:eastAsia="Times New Roman" w:hAnsi="Times New Roman" w:cs="Times New Roman"/>
          <w:sz w:val="24"/>
          <w:szCs w:val="24"/>
        </w:rPr>
        <w:t xml:space="preserve">“Explicando las diferencias en la participación en salud y en los programas alimentarios”, en “La participación desplegada en la política y la sociedad: temas </w:t>
      </w:r>
      <w:r w:rsidRPr="002849AB">
        <w:rPr>
          <w:rFonts w:ascii="Times New Roman" w:eastAsia="Times New Roman" w:hAnsi="Times New Roman" w:cs="Times New Roman"/>
          <w:sz w:val="24"/>
          <w:szCs w:val="24"/>
        </w:rPr>
        <w:lastRenderedPageBreak/>
        <w:t>olvidados, nuevos enfoques”, Romeo Grompone editor, Lima, Red para las Ciencias Sociales en el Perú PUCP-UP-IEP, 2007.</w:t>
      </w:r>
    </w:p>
    <w:p w:rsidR="00A41A93" w:rsidRDefault="00A41A93" w:rsidP="00A41A93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A41A93" w:rsidRDefault="00980C33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Retos de ayer y hoy para la política en salud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r>
        <w:rPr>
          <w:rFonts w:ascii="Times New Roman" w:eastAsia="Times New Roman" w:hAnsi="Times New Roman" w:cs="Times New Roman"/>
          <w:sz w:val="24"/>
          <w:szCs w:val="24"/>
        </w:rPr>
        <w:t>Economía y sociedad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 xml:space="preserve"> No. 66</w:t>
      </w:r>
      <w:r>
        <w:rPr>
          <w:rFonts w:ascii="Times New Roman" w:eastAsia="Times New Roman" w:hAnsi="Times New Roman" w:cs="Times New Roman"/>
          <w:sz w:val="24"/>
          <w:szCs w:val="24"/>
        </w:rPr>
        <w:t>, CIES-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 xml:space="preserve"> Consorcio de Investigación Económica y Social</w:t>
      </w:r>
      <w:r>
        <w:rPr>
          <w:rFonts w:ascii="Times New Roman" w:eastAsia="Times New Roman" w:hAnsi="Times New Roman" w:cs="Times New Roman"/>
          <w:sz w:val="24"/>
          <w:szCs w:val="24"/>
        </w:rPr>
        <w:t>, 2007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AB" w:rsidRDefault="002849AB" w:rsidP="002849AB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AB" w:rsidRDefault="002849AB" w:rsidP="002849AB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Las políticas sociales de Alan 2.1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9AB">
        <w:rPr>
          <w:rFonts w:ascii="Times New Roman" w:eastAsia="Times New Roman" w:hAnsi="Times New Roman" w:cs="Times New Roman"/>
          <w:sz w:val="24"/>
          <w:szCs w:val="24"/>
        </w:rPr>
        <w:t>en “Un año sin rumbo”, Serie Perú Hoy Nro 11. Desco, Lima, 2007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AB" w:rsidRPr="008879DA" w:rsidRDefault="002849AB" w:rsidP="002849AB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AB" w:rsidRPr="008879DA" w:rsidRDefault="002849AB" w:rsidP="002849AB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849AB">
        <w:rPr>
          <w:rFonts w:ascii="Times New Roman" w:eastAsia="Times New Roman" w:hAnsi="Times New Roman" w:cs="Times New Roman"/>
          <w:sz w:val="24"/>
          <w:szCs w:val="24"/>
        </w:rPr>
        <w:t xml:space="preserve">Perú: Programa Juntos”, con Armando Mendoza, en Ernesto Cohen y Rolando Franco editores “Transferencias con corresponsabilidad.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 mirada latinoamericana”, FLACSO – </w:t>
      </w:r>
      <w:r w:rsidRPr="002849AB">
        <w:rPr>
          <w:rFonts w:ascii="Times New Roman" w:eastAsia="Times New Roman" w:hAnsi="Times New Roman" w:cs="Times New Roman"/>
          <w:sz w:val="24"/>
          <w:szCs w:val="24"/>
        </w:rPr>
        <w:t>SEDESOL</w:t>
      </w:r>
      <w:r>
        <w:rPr>
          <w:rFonts w:ascii="Times New Roman" w:eastAsia="Times New Roman" w:hAnsi="Times New Roman" w:cs="Times New Roman"/>
          <w:sz w:val="24"/>
          <w:szCs w:val="24"/>
        </w:rPr>
        <w:t>, México</w:t>
      </w:r>
      <w:r w:rsidRPr="002849AB"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</w:p>
    <w:p w:rsidR="00980C33" w:rsidRPr="00980C33" w:rsidRDefault="00980C33" w:rsidP="00980C33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A93" w:rsidRDefault="00980C33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El derecho humano a la salud y el TLC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 xml:space="preserve">, Forosalud: Consorcio de Investigación Económica y Social, </w:t>
      </w:r>
      <w:r w:rsidR="002849AB" w:rsidRPr="00980C33">
        <w:rPr>
          <w:rFonts w:ascii="Times New Roman" w:eastAsia="Times New Roman" w:hAnsi="Times New Roman" w:cs="Times New Roman"/>
          <w:sz w:val="24"/>
          <w:szCs w:val="24"/>
        </w:rPr>
        <w:t xml:space="preserve">Lima: 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980C33" w:rsidRPr="00980C33" w:rsidRDefault="00980C33" w:rsidP="00980C33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A93" w:rsidRDefault="00980C33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Plan de igualdad de oportunidades para las perso</w:t>
      </w:r>
      <w:r w:rsidR="002849AB">
        <w:rPr>
          <w:rFonts w:ascii="Times New Roman" w:eastAsia="Times New Roman" w:hAnsi="Times New Roman" w:cs="Times New Roman"/>
          <w:sz w:val="24"/>
          <w:szCs w:val="24"/>
        </w:rPr>
        <w:t>nas con discapacidad, 2003-2007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: balance y propuestas</w:t>
      </w:r>
      <w:r>
        <w:rPr>
          <w:rFonts w:ascii="Times New Roman" w:eastAsia="Times New Roman" w:hAnsi="Times New Roman" w:cs="Times New Roman"/>
          <w:sz w:val="24"/>
          <w:szCs w:val="24"/>
        </w:rPr>
        <w:t>”, con Carlos Cordero y Luis Miguel del Águila,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 xml:space="preserve"> Comisión Especial de Estudio sobre Discapacidad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Congreso de la República, 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 xml:space="preserve">Fondo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879DA">
        <w:rPr>
          <w:rFonts w:ascii="Times New Roman" w:eastAsia="Times New Roman" w:hAnsi="Times New Roman" w:cs="Times New Roman"/>
          <w:sz w:val="24"/>
          <w:szCs w:val="24"/>
        </w:rPr>
        <w:t>ditorial del Congreso del Perú, 2006</w:t>
      </w:r>
      <w:r w:rsidR="00A41A93" w:rsidRPr="0098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C33" w:rsidRDefault="00980C33" w:rsidP="00980C33">
      <w:pPr>
        <w:tabs>
          <w:tab w:val="left" w:pos="-720"/>
        </w:tabs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38F" w:rsidRPr="0013738F" w:rsidRDefault="0013738F" w:rsidP="0013738F">
      <w:pPr>
        <w:numPr>
          <w:ilvl w:val="0"/>
          <w:numId w:val="2"/>
        </w:numPr>
        <w:tabs>
          <w:tab w:val="left" w:pos="-720"/>
        </w:tabs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“El Seguro Integral de Salud: una historia política”, en “La política y la pobreza en los países andinos”, Kristen Sample y Gustavo Guerra-García editores,  IDEA Internacional y Asociación Civil Transparencia, Lima 2006.</w:t>
      </w:r>
    </w:p>
    <w:p w:rsidR="0013738F" w:rsidRDefault="0013738F" w:rsidP="0013738F">
      <w:pPr>
        <w:tabs>
          <w:tab w:val="left" w:pos="-720"/>
        </w:tabs>
        <w:jc w:val="both"/>
      </w:pPr>
    </w:p>
    <w:p w:rsidR="007C3BA7" w:rsidRDefault="009058CC">
      <w:pPr>
        <w:numPr>
          <w:ilvl w:val="0"/>
          <w:numId w:val="3"/>
        </w:numPr>
        <w:tabs>
          <w:tab w:val="left" w:pos="-720"/>
        </w:tabs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“El TLC en Perú”, en “los pueblos andinos contra el libre comercio”, Red colombiana de acción frente al libre comercio y el ALCA - RECALCA, Colombia 2006.</w:t>
      </w:r>
    </w:p>
    <w:p w:rsidR="007C3BA7" w:rsidRDefault="007C3BA7">
      <w:pPr>
        <w:tabs>
          <w:tab w:val="left" w:pos="-720"/>
        </w:tabs>
        <w:jc w:val="both"/>
      </w:pPr>
    </w:p>
    <w:p w:rsidR="007C3BA7" w:rsidRDefault="009058CC">
      <w:pPr>
        <w:numPr>
          <w:ilvl w:val="0"/>
          <w:numId w:val="3"/>
        </w:numPr>
        <w:tabs>
          <w:tab w:val="left" w:pos="-720"/>
        </w:tabs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“Políticas de Salud 2006-2011”, con A. Guzmán y J. Arroyo, CIES 2006.</w:t>
      </w:r>
    </w:p>
    <w:p w:rsidR="007C3BA7" w:rsidRDefault="007C3BA7">
      <w:pPr>
        <w:tabs>
          <w:tab w:val="left" w:pos="-720"/>
        </w:tabs>
        <w:jc w:val="both"/>
      </w:pPr>
    </w:p>
    <w:p w:rsidR="007C3BA7" w:rsidRDefault="009058CC">
      <w:pPr>
        <w:numPr>
          <w:ilvl w:val="0"/>
          <w:numId w:val="2"/>
        </w:numPr>
        <w:tabs>
          <w:tab w:val="left" w:pos="-720"/>
        </w:tabs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“Crecimiento con inclusión en el Perú”, con Javier Iguíñiz, Calandria, Lima 2006.</w:t>
      </w:r>
    </w:p>
    <w:p w:rsidR="007C3BA7" w:rsidRDefault="007C3BA7">
      <w:pPr>
        <w:tabs>
          <w:tab w:val="left" w:pos="-720"/>
        </w:tabs>
        <w:jc w:val="both"/>
      </w:pPr>
    </w:p>
    <w:p w:rsidR="002849AB" w:rsidRPr="0013738F" w:rsidRDefault="009058CC" w:rsidP="002849AB">
      <w:pPr>
        <w:numPr>
          <w:ilvl w:val="0"/>
          <w:numId w:val="2"/>
        </w:numPr>
        <w:tabs>
          <w:tab w:val="left" w:pos="-720"/>
        </w:tabs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“Cambios institucionales en los programas sociales (1980-2005)”, en “Construir Instituciones: democracia, desarrollo y desigualdad en el Perú desde 1980”, John Crabtree editor, Fondo Editorial de la Pontificia Universidad Católica del Perú – Universidad del Pacífico – Instituto de Estudios Peruanos, Lima 2006. También publicado en inglés como “Making institutions work in Peru: democracy, development and inequality since 1980, Institute for the study of the Americas – University of London, London 2006.</w:t>
      </w:r>
      <w:r>
        <w:rPr>
          <w:b/>
          <w:color w:val="FFFFFF"/>
          <w:sz w:val="18"/>
          <w:szCs w:val="18"/>
        </w:rPr>
        <w:t xml:space="preserve">he </w:t>
      </w:r>
    </w:p>
    <w:p w:rsidR="0013738F" w:rsidRDefault="0013738F" w:rsidP="0013738F">
      <w:pPr>
        <w:tabs>
          <w:tab w:val="left" w:pos="-720"/>
        </w:tabs>
        <w:jc w:val="both"/>
      </w:pPr>
    </w:p>
    <w:p w:rsidR="0013738F" w:rsidRPr="008879DA" w:rsidRDefault="0013738F" w:rsidP="0013738F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El grado de orientaciones pro-pobre de las políticas económicas peruana: una revisión bibliográfica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284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con Waldo Mendoza</w:t>
      </w:r>
      <w:r>
        <w:rPr>
          <w:rFonts w:ascii="Times New Roman" w:eastAsia="Times New Roman" w:hAnsi="Times New Roman" w:cs="Times New Roman"/>
          <w:sz w:val="24"/>
          <w:szCs w:val="24"/>
        </w:rPr>
        <w:t>, revista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Economía Nº</w:t>
      </w:r>
      <w:r w:rsidRPr="008879DA">
        <w:rPr>
          <w:rFonts w:ascii="Times New Roman" w:eastAsia="Times New Roman" w:hAnsi="Times New Roman" w:cs="Times New Roman"/>
          <w:sz w:val="24"/>
          <w:szCs w:val="24"/>
        </w:rPr>
        <w:t> 28</w:t>
      </w:r>
      <w:r>
        <w:rPr>
          <w:rFonts w:ascii="Times New Roman" w:eastAsia="Times New Roman" w:hAnsi="Times New Roman" w:cs="Times New Roman"/>
          <w:sz w:val="24"/>
          <w:szCs w:val="24"/>
        </w:rPr>
        <w:t>, 2005</w:t>
      </w:r>
    </w:p>
    <w:p w:rsidR="002849AB" w:rsidRDefault="002849AB" w:rsidP="002849AB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7C3BA7" w:rsidRPr="002849AB" w:rsidRDefault="002849AB" w:rsidP="002849AB">
      <w:pPr>
        <w:numPr>
          <w:ilvl w:val="0"/>
          <w:numId w:val="2"/>
        </w:numPr>
        <w:tabs>
          <w:tab w:val="left" w:pos="-720"/>
        </w:tabs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51707" w:rsidRPr="002849AB">
        <w:rPr>
          <w:rFonts w:ascii="Times New Roman" w:eastAsia="Times New Roman" w:hAnsi="Times New Roman" w:cs="Times New Roman"/>
          <w:sz w:val="24"/>
          <w:szCs w:val="24"/>
        </w:rPr>
        <w:t>Perú: Dos programas de combate contra la pobreza</w:t>
      </w:r>
      <w:r>
        <w:rPr>
          <w:rFonts w:ascii="Times New Roman" w:eastAsia="Times New Roman" w:hAnsi="Times New Roman" w:cs="Times New Roman"/>
          <w:sz w:val="24"/>
          <w:szCs w:val="24"/>
        </w:rPr>
        <w:t>”, con Mariana Ballé</w:t>
      </w:r>
      <w:r w:rsidR="00051707" w:rsidRPr="002849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en</w:t>
      </w:r>
      <w:r w:rsidR="00051707" w:rsidRPr="002849A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FAO “</w:t>
      </w:r>
      <w:r w:rsidR="00051707" w:rsidRPr="002849AB">
        <w:rPr>
          <w:rFonts w:ascii="Times New Roman" w:eastAsia="Times New Roman" w:hAnsi="Times New Roman" w:cs="Times New Roman"/>
          <w:sz w:val="24"/>
          <w:szCs w:val="24"/>
        </w:rPr>
        <w:t>La pobreza rural en América Latina: lecciones para una reorientación de las políticas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CEPAL, Santiago de Chile 2003. </w:t>
      </w:r>
    </w:p>
    <w:p w:rsidR="002849AB" w:rsidRDefault="002849AB" w:rsidP="002849AB">
      <w:pPr>
        <w:pStyle w:val="Prrafodelista"/>
      </w:pPr>
    </w:p>
    <w:p w:rsidR="0013738F" w:rsidRDefault="002849AB" w:rsidP="0013738F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9AB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="00051707" w:rsidRPr="002849AB">
        <w:rPr>
          <w:rFonts w:ascii="Times New Roman" w:eastAsia="Times New Roman" w:hAnsi="Times New Roman" w:cs="Times New Roman"/>
          <w:sz w:val="24"/>
          <w:szCs w:val="24"/>
        </w:rPr>
        <w:t>La estrategia de focalización y su trade-off con la eficacia en un proyecto de promoción de negocios rurales: el caso de Proyecto desarrollo del Corredor Cusco-Puno. FIDAMERICA.</w:t>
      </w:r>
      <w:r w:rsidRPr="002849AB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13738F" w:rsidRDefault="0013738F" w:rsidP="0013738F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38F" w:rsidRDefault="0013738F" w:rsidP="0013738F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8F">
        <w:rPr>
          <w:rFonts w:ascii="Times New Roman" w:eastAsia="Times New Roman" w:hAnsi="Times New Roman" w:cs="Times New Roman"/>
          <w:sz w:val="24"/>
          <w:szCs w:val="24"/>
        </w:rPr>
        <w:t>“Bolivia. Health Sector Reforms in the Context of Decentralization”, con Nicole Schwab, Banco Mundial Report 26140-BO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7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137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738F" w:rsidRPr="0013738F" w:rsidRDefault="0013738F" w:rsidP="0013738F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38F" w:rsidRPr="0013738F" w:rsidRDefault="0013738F" w:rsidP="0013738F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8F">
        <w:rPr>
          <w:rFonts w:ascii="Times New Roman" w:eastAsia="Times New Roman" w:hAnsi="Times New Roman" w:cs="Times New Roman"/>
          <w:sz w:val="24"/>
          <w:szCs w:val="24"/>
        </w:rPr>
        <w:t xml:space="preserve">"La Seguridad Social en Salud: situación y posibilidades," Documento de Trabajo CISEPA No. 187, Departamento de Economía, Pontificia Universidad Católica del Perú; octubre 2002. </w:t>
      </w:r>
    </w:p>
    <w:p w:rsidR="00F87B4E" w:rsidRPr="0013738F" w:rsidRDefault="00F87B4E" w:rsidP="0013738F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38F" w:rsidRPr="00980C33" w:rsidRDefault="0013738F" w:rsidP="0013738F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33"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2" w:name="Result_40"/>
      <w:r w:rsidRPr="00980C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C3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eds.b.ebscohost.com/eds/viewarticle/render?data=dGJyMPPp44rp2%2fdV0%2bnjisfk5Ie46bNJsKy2SbGk63nn5Kx94um%2bTq2osUewpq9Onqq4SrOwsFCexss%2b8ujfhvHX4Yzn5eyB4rOrS7WntUi3rK5LpOLfhuWz44uk2uBV4dfySLCosE3fnPJ55bO%2fZqTX7FXu6%2bGIrNexT7Wqt0yk3O2K69fyVeTr6oTy2%2faMpN3zffHqu2zw6%2bMA&amp;vid=0&amp;sid=615e294c-15be-4874-b223-78715fb4c943@sessionmgr120&amp;hid=108" \o "El financiamiento de la salud en Bolivia / Pedro Francke Ballve" </w:instrText>
      </w:r>
      <w:r w:rsidRPr="00980C3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C33">
        <w:rPr>
          <w:rFonts w:ascii="Times New Roman" w:eastAsia="Times New Roman" w:hAnsi="Times New Roman" w:cs="Times New Roman"/>
          <w:sz w:val="24"/>
          <w:szCs w:val="24"/>
        </w:rPr>
        <w:t xml:space="preserve">El financiamiento de la salud en Bolivia”,  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980C33">
        <w:rPr>
          <w:rFonts w:ascii="Times New Roman" w:eastAsia="Times New Roman" w:hAnsi="Times New Roman" w:cs="Times New Roman"/>
          <w:sz w:val="24"/>
          <w:szCs w:val="24"/>
        </w:rPr>
        <w:t>La Paz : Ministerio de Salud y Previsión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Bolivia, La Paz, 2002.</w:t>
      </w:r>
    </w:p>
    <w:p w:rsidR="0013738F" w:rsidRDefault="0013738F" w:rsidP="0013738F">
      <w:pPr>
        <w:tabs>
          <w:tab w:val="left" w:pos="-720"/>
        </w:tabs>
        <w:jc w:val="both"/>
      </w:pPr>
    </w:p>
    <w:p w:rsidR="0013738F" w:rsidRDefault="0013738F" w:rsidP="0013738F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>Proyecciones de financiamiento de la at</w:t>
      </w:r>
      <w:r>
        <w:rPr>
          <w:rFonts w:ascii="Times New Roman" w:eastAsia="Times New Roman" w:hAnsi="Times New Roman" w:cs="Times New Roman"/>
          <w:sz w:val="24"/>
          <w:szCs w:val="24"/>
        </w:rPr>
        <w:t>ención de salud: Perú 2002-2006”, con Luis García y Margarita Petrera,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> Organización Panamericana de la Salud, Lima</w:t>
      </w:r>
      <w:r>
        <w:rPr>
          <w:rFonts w:ascii="Times New Roman" w:eastAsia="Times New Roman" w:hAnsi="Times New Roman" w:cs="Times New Roman"/>
          <w:sz w:val="24"/>
          <w:szCs w:val="24"/>
        </w:rPr>
        <w:t>, 2002</w:t>
      </w:r>
      <w:r w:rsidRPr="0098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38F" w:rsidRPr="0013738F" w:rsidRDefault="0013738F" w:rsidP="0013738F">
      <w:pPr>
        <w:tabs>
          <w:tab w:val="left" w:pos="-720"/>
        </w:tabs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38F" w:rsidRDefault="009058CC" w:rsidP="0013738F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8F">
        <w:rPr>
          <w:rFonts w:ascii="Times New Roman" w:eastAsia="Times New Roman" w:hAnsi="Times New Roman" w:cs="Times New Roman"/>
          <w:sz w:val="24"/>
          <w:szCs w:val="24"/>
        </w:rPr>
        <w:t xml:space="preserve">“Políticas sociales: balance y propuestas”, Documento de Trabajo CISEPA N° 194, Departamento de Economía, Pontificia Universidad Católica del Perú, mayo 2001. </w:t>
      </w:r>
    </w:p>
    <w:p w:rsidR="0013738F" w:rsidRPr="0013738F" w:rsidRDefault="0013738F" w:rsidP="0013738F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38F" w:rsidRDefault="009058CC" w:rsidP="0013738F">
      <w:pPr>
        <w:numPr>
          <w:ilvl w:val="0"/>
          <w:numId w:val="2"/>
        </w:numPr>
        <w:tabs>
          <w:tab w:val="left" w:pos="-720"/>
        </w:tabs>
        <w:ind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8F">
        <w:rPr>
          <w:rFonts w:ascii="Times New Roman" w:eastAsia="Times New Roman" w:hAnsi="Times New Roman" w:cs="Times New Roman"/>
          <w:sz w:val="24"/>
          <w:szCs w:val="24"/>
        </w:rPr>
        <w:t xml:space="preserve">“Lineamientos de Políticas de Salud 2001-2006”, en “Políticas de Salud 2001- 2006”, Pedro Francke editor, Serie Diagnóstico y Propuesta N° 5, Consorcio de Investigación Económica y Social, Lima, Perú, 2001. </w:t>
      </w:r>
    </w:p>
    <w:p w:rsidR="0013738F" w:rsidRDefault="0013738F" w:rsidP="0013738F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13738F" w:rsidRPr="0013738F" w:rsidRDefault="0013738F" w:rsidP="0013738F">
      <w:pPr>
        <w:tabs>
          <w:tab w:val="left" w:pos="-720"/>
        </w:tabs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38F" w:rsidRPr="0013738F" w:rsidRDefault="0013738F" w:rsidP="0013738F">
      <w:pPr>
        <w:tabs>
          <w:tab w:val="left" w:pos="-720"/>
        </w:tabs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3738F" w:rsidRPr="0013738F" w:rsidSect="00C906C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2B8"/>
    <w:multiLevelType w:val="multilevel"/>
    <w:tmpl w:val="9DAAEDD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EDB70D3"/>
    <w:multiLevelType w:val="multilevel"/>
    <w:tmpl w:val="1BEA449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D5B16A0"/>
    <w:multiLevelType w:val="multilevel"/>
    <w:tmpl w:val="72966492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C3BA7"/>
    <w:rsid w:val="00051707"/>
    <w:rsid w:val="0013738F"/>
    <w:rsid w:val="002731A0"/>
    <w:rsid w:val="002849AB"/>
    <w:rsid w:val="002E0DF0"/>
    <w:rsid w:val="00657325"/>
    <w:rsid w:val="007C3BA7"/>
    <w:rsid w:val="008879DA"/>
    <w:rsid w:val="009058CC"/>
    <w:rsid w:val="00980C33"/>
    <w:rsid w:val="00A41A93"/>
    <w:rsid w:val="00AA18D8"/>
    <w:rsid w:val="00AB1ABB"/>
    <w:rsid w:val="00BE6039"/>
    <w:rsid w:val="00BF4B9B"/>
    <w:rsid w:val="00C906CD"/>
    <w:rsid w:val="00E105B0"/>
    <w:rsid w:val="00E731B2"/>
    <w:rsid w:val="00F87B4E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color w:val="000000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6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31A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1A93"/>
    <w:rPr>
      <w:b/>
      <w:bCs/>
    </w:rPr>
  </w:style>
  <w:style w:type="character" w:customStyle="1" w:styleId="apple-converted-space">
    <w:name w:val="apple-converted-space"/>
    <w:basedOn w:val="Fuentedeprrafopredeter"/>
    <w:rsid w:val="00A41A93"/>
  </w:style>
  <w:style w:type="character" w:styleId="Hipervnculo">
    <w:name w:val="Hyperlink"/>
    <w:basedOn w:val="Fuentedeprrafopredeter"/>
    <w:uiPriority w:val="99"/>
    <w:unhideWhenUsed/>
    <w:rsid w:val="00A41A93"/>
    <w:rPr>
      <w:color w:val="0000FF"/>
      <w:u w:val="single"/>
    </w:rPr>
  </w:style>
  <w:style w:type="character" w:customStyle="1" w:styleId="hidden">
    <w:name w:val="hidden"/>
    <w:basedOn w:val="Fuentedeprrafopredeter"/>
    <w:rsid w:val="00A41A93"/>
  </w:style>
  <w:style w:type="paragraph" w:customStyle="1" w:styleId="Epgrafe1">
    <w:name w:val="Epígrafe1"/>
    <w:basedOn w:val="Normal"/>
    <w:rsid w:val="00A41A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80C33"/>
    <w:rPr>
      <w:i/>
      <w:iCs/>
    </w:rPr>
  </w:style>
  <w:style w:type="character" w:customStyle="1" w:styleId="italic">
    <w:name w:val="italic"/>
    <w:basedOn w:val="Fuentedeprrafopredeter"/>
    <w:rsid w:val="00E7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color w:val="000000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6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31A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1A93"/>
    <w:rPr>
      <w:b/>
      <w:bCs/>
    </w:rPr>
  </w:style>
  <w:style w:type="character" w:customStyle="1" w:styleId="apple-converted-space">
    <w:name w:val="apple-converted-space"/>
    <w:basedOn w:val="Fuentedeprrafopredeter"/>
    <w:rsid w:val="00A41A93"/>
  </w:style>
  <w:style w:type="character" w:styleId="Hipervnculo">
    <w:name w:val="Hyperlink"/>
    <w:basedOn w:val="Fuentedeprrafopredeter"/>
    <w:uiPriority w:val="99"/>
    <w:unhideWhenUsed/>
    <w:rsid w:val="00A41A93"/>
    <w:rPr>
      <w:color w:val="0000FF"/>
      <w:u w:val="single"/>
    </w:rPr>
  </w:style>
  <w:style w:type="character" w:customStyle="1" w:styleId="hidden">
    <w:name w:val="hidden"/>
    <w:basedOn w:val="Fuentedeprrafopredeter"/>
    <w:rsid w:val="00A41A93"/>
  </w:style>
  <w:style w:type="paragraph" w:customStyle="1" w:styleId="Epgrafe1">
    <w:name w:val="Epígrafe1"/>
    <w:basedOn w:val="Normal"/>
    <w:rsid w:val="00A41A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80C33"/>
    <w:rPr>
      <w:i/>
      <w:iCs/>
    </w:rPr>
  </w:style>
  <w:style w:type="character" w:customStyle="1" w:styleId="italic">
    <w:name w:val="italic"/>
    <w:basedOn w:val="Fuentedeprrafopredeter"/>
    <w:rsid w:val="00E7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29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042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fConsultarCV('00004990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Mirtha Elisa Cornejo Solano</cp:lastModifiedBy>
  <cp:revision>2</cp:revision>
  <dcterms:created xsi:type="dcterms:W3CDTF">2016-06-24T14:15:00Z</dcterms:created>
  <dcterms:modified xsi:type="dcterms:W3CDTF">2016-06-24T14:15:00Z</dcterms:modified>
</cp:coreProperties>
</file>